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травень 2057</w:t>
      </w:r>
    </w:p>
    <w:p>
      <w:r>
        <w:t>Замовник: МХП · Бюджет: 45 год/міс · Сформовано: 08.11.2026 22:22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17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11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45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33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30.04–04.05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30.04–04.05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30.04–04.05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30.04–04.05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30.04–04.05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30.04–04.05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30.04–04.05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30.04–04.05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07.05–11.05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07.05–11.05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07.05–11.05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07.05–11.05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07.05–11.05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07.05–11.05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07.05–11.05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14.05–18.05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Тестове відновлення з резервної копії на ізольованому стенді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01.05–18.05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14.05–18.05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19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14.05–18.05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14.05–18.05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14.05–18.05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14.05–18.05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14.05–18.05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24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Підтримка стеку моніторингу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14.05–18.05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25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DB-01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ТО кластера БД та перевірка цілісності резервних копій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21.05–25.05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26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Технічне обслуговування та аналіз продуктивності Kafka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21.05–25.05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27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Flink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21.05–25.05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28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STR-03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Планове технічне обслуговування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21.05–25.05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29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Погоджене очищення журналів та історії запусків Airflow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01.05–25.05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30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STR-05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збоїв і виконання DAG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21.05–25.05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Ростислав Гаврилюк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31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MON-01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Щоденний контроль доступності та продуктивності застосунків ПЗ СДС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21.05–25.05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32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MON-02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Аналіз системних алертів, журналів і відхилень у потоках даних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21.05–25.05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Павло Гріневич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  <w:tr>
        <w:tc>
          <w:tcPr>
            <w:tcW w:type="dxa" w:w="51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33</w:t>
            </w:r>
          </w:p>
        </w:tc>
        <w:tc>
          <w:tcPr>
            <w:tcW w:type="dxa" w:w="964"/>
          </w:tcPr>
          <w:p>
            <w:r/>
            <w:r>
              <w:rPr>
                <w:b w:val="0"/>
                <w:sz w:val="19"/>
              </w:rPr>
              <w:t>MON-04</w:t>
            </w:r>
          </w:p>
        </w:tc>
        <w:tc>
          <w:tcPr>
            <w:tcW w:type="dxa" w:w="5669"/>
          </w:tcPr>
          <w:p>
            <w:r/>
            <w:r>
              <w:rPr>
                <w:b w:val="0"/>
                <w:sz w:val="19"/>
              </w:rPr>
              <w:t>Актуалізація дашбордів та алертингу</w:t>
            </w:r>
          </w:p>
        </w:tc>
        <w:tc>
          <w:tcPr>
            <w:tcW w:type="dxa" w:w="1361"/>
          </w:tcPr>
          <w:p>
            <w:r/>
            <w:r>
              <w:rPr>
                <w:b w:val="0"/>
                <w:sz w:val="19"/>
              </w:rPr>
              <w:t>01.05–31.05</w:t>
            </w:r>
          </w:p>
        </w:tc>
        <w:tc>
          <w:tcPr>
            <w:tcW w:type="dxa" w:w="1871"/>
          </w:tcPr>
          <w:p>
            <w:r/>
            <w:r>
              <w:rPr>
                <w:b w:val="0"/>
                <w:sz w:val="19"/>
              </w:rPr>
              <w:t>Богдан Семчук</w:t>
            </w:r>
          </w:p>
        </w:tc>
        <w:tc>
          <w:tcPr>
            <w:tcW w:type="dxa" w:w="1928"/>
          </w:tcPr>
          <w:p>
            <w:r/>
            <w:r>
              <w:rPr>
                <w:b w:val="0"/>
                <w:sz w:val="19"/>
              </w:rPr>
              <w:t>заплановано</w:t>
            </w:r>
          </w:p>
        </w:tc>
        <w:tc>
          <w:tcPr>
            <w:tcW w:type="dxa" w:w="1020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74"/>
          </w:tcPr>
          <w:p>
            <w:r/>
            <w:r>
              <w:rPr>
                <w:b w:val="0"/>
                <w:sz w:val="19"/>
              </w:rPr>
              <w:t>—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