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F4E79"/>
          <w:sz w:val="36"/>
        </w:rPr>
        <w:t>Звіт про виконання регламентних робіт</w:t>
      </w:r>
    </w:p>
    <w:p>
      <w:r>
        <w:rPr>
          <w:color w:val="1F4E79"/>
          <w:sz w:val="24"/>
        </w:rPr>
        <w:t>Технічна підтримка ПЗ СДС · грудень 2033</w:t>
      </w:r>
    </w:p>
    <w:p>
      <w:r>
        <w:t>Замовник: МХП · Бюджет: 45 год/міс · Сформовано: 01.11.2026 21:57</w:t>
      </w:r>
    </w:p>
    <w:p>
      <w:r>
        <w:rPr>
          <w:b/>
          <w:color w:val="1F4E79"/>
          <w:sz w:val="26"/>
        </w:rPr>
        <w:t>1. Обсяг робіт за видами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576"/>
        <w:gridCol w:w="1417"/>
        <w:gridCol w:w="1417"/>
        <w:gridCol w:w="1701"/>
        <w:gridCol w:w="1417"/>
        <w:gridCol w:w="1417"/>
      </w:tblGrid>
      <w:tr>
        <w:trPr>
          <w:tblHeader w:val="true"/>
        </w:trPr>
        <w:tc>
          <w:tcPr>
            <w:tcW w:type="dxa" w:w="6576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Вид робіт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План, год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70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Виконано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Без звіту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Прострочено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Адміністрування, оптимізація та верифікація баз даних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8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6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Експлуатація та аналіз продуктивності потокової інфраструктури (Kafka, Flink, Airflow)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15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21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Моніторинг, аналіз системних алертів та доступності застосунків ПЗ СДС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22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13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  <w:shd w:val="clear" w:color="auto" w:fill="DEEAF6"/>
          </w:tcPr>
          <w:p>
            <w:r/>
            <w:r>
              <w:rPr>
                <w:b/>
                <w:sz w:val="19"/>
              </w:rPr>
              <w:t>Разом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45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701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 з 40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</w:tr>
    </w:tbl>
    <w:p/>
    <w:p>
      <w:r>
        <w:rPr>
          <w:b/>
          <w:color w:val="1F4E79"/>
          <w:sz w:val="26"/>
        </w:rPr>
        <w:t>2. Перелік робіт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10"/>
        <w:gridCol w:w="964"/>
        <w:gridCol w:w="5669"/>
        <w:gridCol w:w="1361"/>
        <w:gridCol w:w="1871"/>
        <w:gridCol w:w="1928"/>
        <w:gridCol w:w="1020"/>
        <w:gridCol w:w="1474"/>
      </w:tblGrid>
      <w:tr>
        <w:trPr>
          <w:tblHeader w:val="true"/>
        </w:trPr>
        <w:tc>
          <w:tcPr>
            <w:tcW w:type="dxa" w:w="51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№</w:t>
            </w:r>
          </w:p>
        </w:tc>
        <w:tc>
          <w:tcPr>
            <w:tcW w:type="dxa" w:w="96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ID</w:t>
            </w:r>
          </w:p>
        </w:tc>
        <w:tc>
          <w:tcPr>
            <w:tcW w:type="dxa" w:w="5669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Робота</w:t>
            </w:r>
          </w:p>
        </w:tc>
        <w:tc>
          <w:tcPr>
            <w:tcW w:type="dxa" w:w="136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Період</w:t>
            </w:r>
          </w:p>
        </w:tc>
        <w:tc>
          <w:tcPr>
            <w:tcW w:type="dxa" w:w="187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Виконавець</w:t>
            </w:r>
          </w:p>
        </w:tc>
        <w:tc>
          <w:tcPr>
            <w:tcW w:type="dxa" w:w="1928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Статус</w:t>
            </w:r>
          </w:p>
        </w:tc>
        <w:tc>
          <w:tcPr>
            <w:tcW w:type="dxa" w:w="102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47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Тікет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28.11–02.12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28.11–02.12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28.11–02.12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28.11–02.12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28.11–02.12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28.11–02.12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28.11–02.12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Підтримка стеку моніторингу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28.11–02.12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05.12–09.12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05.12–09.12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05.12–09.12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05.12–09.12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05.12–09.12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05.12–09.12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05.12–09.12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12.12–16.12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12.12–16.12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12.12–16.12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12.12–16.12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12.12–16.12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12.12–16.12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12.12–16.12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Підтримка стеку моніторингу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12.12–16.12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Тестове відновлення з резервної копії на ізольованому стенді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01.12–20.12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19.12–23.12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19.12–23.12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19.12–23.12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19.12–23.12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STR-04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Погоджене очищення журналів та історії запусків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01.12–23.12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19.12–23.12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19.12–23.12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19.12–23.12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26.12–30.12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26.12–30.12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26.12–30.12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26.12–30.12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26.12–30.12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26.12–30.12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26.12–30.12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40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MON-04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Актуалізація дашбордів та алертингу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01.12–30.12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</w:tbl>
    <w:sectPr w:rsidR="00FC693F" w:rsidRPr="0006063C" w:rsidSect="00034616">
      <w:pgSz w:w="16838" w:h="11906" w:orient="landscape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