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6"/>
        </w:rPr>
        <w:t>Звіт про виконання регламентних робіт</w:t>
      </w:r>
    </w:p>
    <w:p>
      <w:r>
        <w:rPr>
          <w:color w:val="1F4E79"/>
          <w:sz w:val="24"/>
        </w:rPr>
        <w:t>Технічна підтримка ПЗ СДС · лютий 2033</w:t>
      </w:r>
    </w:p>
    <w:p>
      <w:r>
        <w:t>Замовник: МХП · Бюджет: 45 год/міс · Сформовано: 01.11.2026 14:02</w:t>
      </w:r>
    </w:p>
    <w:p>
      <w:r>
        <w:rPr>
          <w:b/>
          <w:color w:val="1F4E79"/>
          <w:sz w:val="26"/>
        </w:rPr>
        <w:t>1. Обсяг робіт за видами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6576"/>
        <w:gridCol w:w="1417"/>
        <w:gridCol w:w="1417"/>
        <w:gridCol w:w="1701"/>
        <w:gridCol w:w="1417"/>
        <w:gridCol w:w="1417"/>
      </w:tblGrid>
      <w:tr>
        <w:trPr>
          <w:tblHeader w:val="true"/>
        </w:trPr>
        <w:tc>
          <w:tcPr>
            <w:tcW w:type="dxa" w:w="6576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Вид робіт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План, год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70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Виконано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Без звіту</w:t>
            </w:r>
          </w:p>
        </w:tc>
        <w:tc>
          <w:tcPr>
            <w:tcW w:type="dxa" w:w="1417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Прострочено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Адміністрування, оптимізація та верифікація баз даних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Експлуатація та аналіз продуктивності потокової інфраструктури (Kafka, Flink, Airflow)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17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</w:tcPr>
          <w:p>
            <w:r/>
            <w:r>
              <w:rPr>
                <w:b w:val="0"/>
                <w:sz w:val="19"/>
              </w:rPr>
              <w:t>Моніторинг, аналіз системних алертів та доступності застосунків ПЗ СДС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701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 з 11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17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</w:tr>
      <w:tr>
        <w:tc>
          <w:tcPr>
            <w:tcW w:type="dxa" w:w="6576"/>
            <w:shd w:val="clear" w:color="auto" w:fill="DEEAF6"/>
          </w:tcPr>
          <w:p>
            <w:r/>
            <w:r>
              <w:rPr>
                <w:b/>
                <w:sz w:val="19"/>
              </w:rPr>
              <w:t>Разом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45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701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 з 33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  <w:tc>
          <w:tcPr>
            <w:tcW w:type="dxa" w:w="1417"/>
            <w:shd w:val="clear" w:color="auto" w:fill="DEEAF6"/>
          </w:tcPr>
          <w:p>
            <w:pPr>
              <w:jc w:val="right"/>
            </w:pPr>
            <w:r/>
            <w:r>
              <w:rPr>
                <w:b/>
                <w:sz w:val="19"/>
              </w:rPr>
              <w:t>0</w:t>
            </w:r>
          </w:p>
        </w:tc>
      </w:tr>
    </w:tbl>
    <w:p/>
    <w:p>
      <w:r>
        <w:rPr>
          <w:b/>
          <w:color w:val="1F4E79"/>
          <w:sz w:val="26"/>
        </w:rPr>
        <w:t>2. Перелік робіт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10"/>
        <w:gridCol w:w="964"/>
        <w:gridCol w:w="5669"/>
        <w:gridCol w:w="1361"/>
        <w:gridCol w:w="1871"/>
        <w:gridCol w:w="1928"/>
        <w:gridCol w:w="1020"/>
        <w:gridCol w:w="1474"/>
      </w:tblGrid>
      <w:tr>
        <w:trPr>
          <w:tblHeader w:val="true"/>
        </w:trPr>
        <w:tc>
          <w:tcPr>
            <w:tcW w:type="dxa" w:w="51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№</w:t>
            </w:r>
          </w:p>
        </w:tc>
        <w:tc>
          <w:tcPr>
            <w:tcW w:type="dxa" w:w="96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ID</w:t>
            </w:r>
          </w:p>
        </w:tc>
        <w:tc>
          <w:tcPr>
            <w:tcW w:type="dxa" w:w="5669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Робота</w:t>
            </w:r>
          </w:p>
        </w:tc>
        <w:tc>
          <w:tcPr>
            <w:tcW w:type="dxa" w:w="136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Період</w:t>
            </w:r>
          </w:p>
        </w:tc>
        <w:tc>
          <w:tcPr>
            <w:tcW w:type="dxa" w:w="1871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Виконавець</w:t>
            </w:r>
          </w:p>
        </w:tc>
        <w:tc>
          <w:tcPr>
            <w:tcW w:type="dxa" w:w="1928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Статус</w:t>
            </w:r>
          </w:p>
        </w:tc>
        <w:tc>
          <w:tcPr>
            <w:tcW w:type="dxa" w:w="1020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Факт, год</w:t>
            </w:r>
          </w:p>
        </w:tc>
        <w:tc>
          <w:tcPr>
            <w:tcW w:type="dxa" w:w="1474"/>
            <w:shd w:val="clear" w:color="auto" w:fill="1F4E79"/>
          </w:tcPr>
          <w:p>
            <w:r/>
            <w:r>
              <w:rPr>
                <w:b/>
                <w:color w:val="FFFFFF"/>
                <w:sz w:val="19"/>
              </w:rPr>
              <w:t>Тікет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31.01–04.02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31.01–04.02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31.01–04.02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31.01–04.02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31.01–04.02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31.01–04.02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31.01–04.02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31.01–04.02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07.02–11.02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07.02–11.02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07.02–11.02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07.02–11.02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07.02–11.02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07.02–11.02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07.02–11.02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14.02–18.02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Тестове відновлення з резервної копії на ізольованому стенді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01.02–18.02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14.02–18.02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19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14.02–18.02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14.02–18.02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14.02–18.02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14.02–18.02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14.02–18.02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24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Підтримка стеку моніторингу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14.02–18.02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25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DB-01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ТО кластера БД та перевірка цілісності резервних копій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26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Технічне обслуговування та аналіз продуктивності Kafka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27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Flink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28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STR-03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Планове технічне обслуговування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29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Погоджене очищення журналів та історії запусків Airflow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30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STR-05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збоїв і виконання DAG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Ростислав Гаврилюк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31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MON-01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Щоденний контроль доступності та продуктивності застосунків ПЗ СДС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32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MON-02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Аналіз системних алертів, журналів і відхилень у потоках даних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21.02–25.02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Павло Гріневич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  <w:tr>
        <w:tc>
          <w:tcPr>
            <w:tcW w:type="dxa" w:w="51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33</w:t>
            </w:r>
          </w:p>
        </w:tc>
        <w:tc>
          <w:tcPr>
            <w:tcW w:type="dxa" w:w="964"/>
          </w:tcPr>
          <w:p>
            <w:r/>
            <w:r>
              <w:rPr>
                <w:b w:val="0"/>
                <w:sz w:val="19"/>
              </w:rPr>
              <w:t>MON-04</w:t>
            </w:r>
          </w:p>
        </w:tc>
        <w:tc>
          <w:tcPr>
            <w:tcW w:type="dxa" w:w="5669"/>
          </w:tcPr>
          <w:p>
            <w:r/>
            <w:r>
              <w:rPr>
                <w:b w:val="0"/>
                <w:sz w:val="19"/>
              </w:rPr>
              <w:t>Актуалізація дашбордів та алертингу</w:t>
            </w:r>
          </w:p>
        </w:tc>
        <w:tc>
          <w:tcPr>
            <w:tcW w:type="dxa" w:w="1361"/>
          </w:tcPr>
          <w:p>
            <w:r/>
            <w:r>
              <w:rPr>
                <w:b w:val="0"/>
                <w:sz w:val="19"/>
              </w:rPr>
              <w:t>01.02–28.02</w:t>
            </w:r>
          </w:p>
        </w:tc>
        <w:tc>
          <w:tcPr>
            <w:tcW w:type="dxa" w:w="1871"/>
          </w:tcPr>
          <w:p>
            <w:r/>
            <w:r>
              <w:rPr>
                <w:b w:val="0"/>
                <w:sz w:val="19"/>
              </w:rPr>
              <w:t>Богдан Семчук</w:t>
            </w:r>
          </w:p>
        </w:tc>
        <w:tc>
          <w:tcPr>
            <w:tcW w:type="dxa" w:w="1928"/>
          </w:tcPr>
          <w:p>
            <w:r/>
            <w:r>
              <w:rPr>
                <w:b w:val="0"/>
                <w:sz w:val="19"/>
              </w:rPr>
              <w:t>заплановано</w:t>
            </w:r>
          </w:p>
        </w:tc>
        <w:tc>
          <w:tcPr>
            <w:tcW w:type="dxa" w:w="1020"/>
          </w:tcPr>
          <w:p>
            <w:pPr>
              <w:jc w:val="right"/>
            </w:pPr>
            <w:r/>
            <w:r>
              <w:rPr>
                <w:b w:val="0"/>
                <w:sz w:val="19"/>
              </w:rPr>
              <w:t>0</w:t>
            </w:r>
          </w:p>
        </w:tc>
        <w:tc>
          <w:tcPr>
            <w:tcW w:type="dxa" w:w="1474"/>
          </w:tcPr>
          <w:p>
            <w:r/>
            <w:r>
              <w:rPr>
                <w:b w:val="0"/>
                <w:sz w:val="19"/>
              </w:rPr>
              <w:t>—</w:t>
            </w:r>
          </w:p>
        </w:tc>
      </w:tr>
    </w:tbl>
    <w:sectPr w:rsidR="00FC693F" w:rsidRPr="0006063C" w:rsidSect="00034616">
      <w:pgSz w:w="16838" w:h="11906" w:orient="landscape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